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6E5D" w14:textId="77777777" w:rsidR="006703FE" w:rsidRPr="006703FE" w:rsidRDefault="006703FE" w:rsidP="006703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600" w:after="450" w:line="648" w:lineRule="atLeast"/>
        <w:outlineLvl w:val="1"/>
        <w:rPr>
          <w:rFonts w:ascii="Arial" w:eastAsia="Times New Roman" w:hAnsi="Arial" w:cs="Times New Roman"/>
          <w:b/>
          <w:bCs/>
          <w:sz w:val="54"/>
          <w:szCs w:val="54"/>
          <w:lang w:eastAsia="en-IN"/>
        </w:rPr>
      </w:pPr>
      <w:r w:rsidRPr="006703FE">
        <w:rPr>
          <w:rFonts w:ascii="Arial" w:eastAsia="Times New Roman" w:hAnsi="Arial" w:cs="Times New Roman"/>
          <w:b/>
          <w:bCs/>
          <w:sz w:val="54"/>
          <w:szCs w:val="54"/>
          <w:lang w:eastAsia="en-IN"/>
        </w:rPr>
        <w:t>Negative list under GST</w:t>
      </w:r>
    </w:p>
    <w:p w14:paraId="4DDCBC54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Services by employee to employer in the course/ relation to employment</w:t>
      </w:r>
    </w:p>
    <w:p w14:paraId="2831B47D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 xml:space="preserve">Services of funeral, burial, </w:t>
      </w:r>
      <w:proofErr w:type="gramStart"/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crematorium</w:t>
      </w:r>
      <w:proofErr w:type="gramEnd"/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 xml:space="preserve"> or mortuary</w:t>
      </w:r>
    </w:p>
    <w:p w14:paraId="15E5EE50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Sale of land</w:t>
      </w:r>
    </w:p>
    <w:p w14:paraId="30F430CE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Sale of completed buildings</w:t>
      </w:r>
    </w:p>
    <w:p w14:paraId="23011C17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 xml:space="preserve">Actionable claims (other than lottery, </w:t>
      </w:r>
      <w:proofErr w:type="gramStart"/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betting</w:t>
      </w:r>
      <w:proofErr w:type="gramEnd"/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 xml:space="preserve"> and gambling)</w:t>
      </w:r>
    </w:p>
    <w:p w14:paraId="7C9F5C3E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Services by any court or Tribunal</w:t>
      </w:r>
    </w:p>
    <w:p w14:paraId="08A2B814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Functions performed by the MPs, MLAs etc.</w:t>
      </w:r>
    </w:p>
    <w:p w14:paraId="657C8CFD" w14:textId="77777777" w:rsidR="006703FE" w:rsidRPr="006703FE" w:rsidRDefault="006703FE" w:rsidP="006703FE">
      <w:pPr>
        <w:numPr>
          <w:ilvl w:val="0"/>
          <w:numId w:val="1"/>
        </w:numPr>
        <w:pBdr>
          <w:top w:val="single" w:sz="2" w:space="4" w:color="auto"/>
          <w:left w:val="single" w:sz="2" w:space="15" w:color="auto"/>
          <w:bottom w:val="single" w:sz="2" w:space="4" w:color="auto"/>
          <w:right w:val="single" w:sz="2" w:space="15" w:color="auto"/>
        </w:pBdr>
        <w:shd w:val="clear" w:color="auto" w:fill="FFFFFF"/>
        <w:spacing w:before="150" w:after="150" w:line="480" w:lineRule="atLeast"/>
        <w:ind w:left="1020" w:right="300"/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</w:pPr>
      <w:r w:rsidRPr="006703FE">
        <w:rPr>
          <w:rFonts w:ascii="Arial" w:eastAsia="Times New Roman" w:hAnsi="Arial" w:cs="Times New Roman"/>
          <w:color w:val="314259"/>
          <w:sz w:val="27"/>
          <w:szCs w:val="27"/>
          <w:lang w:eastAsia="en-IN"/>
        </w:rPr>
        <w:t>Duties performed by any person who holds any post in pursuance of the provisions of the Constitution in that capacity.</w:t>
      </w:r>
    </w:p>
    <w:p w14:paraId="23B859D7" w14:textId="77777777" w:rsidR="005A329A" w:rsidRDefault="005A329A"/>
    <w:sectPr w:rsidR="005A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61D"/>
    <w:multiLevelType w:val="multilevel"/>
    <w:tmpl w:val="BBA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9A"/>
    <w:rsid w:val="005A329A"/>
    <w:rsid w:val="006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FE8F7-DEFF-401D-81C0-953CB138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3F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2</cp:revision>
  <dcterms:created xsi:type="dcterms:W3CDTF">2021-07-31T11:06:00Z</dcterms:created>
  <dcterms:modified xsi:type="dcterms:W3CDTF">2021-07-31T11:06:00Z</dcterms:modified>
</cp:coreProperties>
</file>